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52"/>
        </w:rPr>
      </w:pPr>
      <w:r>
        <w:rPr>
          <w:rFonts w:hint="eastAsia"/>
          <w:b w:val="1"/>
          <w:sz w:val="52"/>
        </w:rPr>
        <w:t>東みよし町農業施策等に関する</w:t>
      </w:r>
    </w:p>
    <w:p>
      <w:pPr>
        <w:pStyle w:val="0"/>
        <w:jc w:val="center"/>
        <w:rPr>
          <w:rFonts w:hint="eastAsia"/>
          <w:b w:val="1"/>
          <w:sz w:val="52"/>
        </w:rPr>
      </w:pPr>
    </w:p>
    <w:p>
      <w:pPr>
        <w:pStyle w:val="0"/>
        <w:jc w:val="center"/>
        <w:rPr>
          <w:rFonts w:hint="eastAsia"/>
          <w:b w:val="1"/>
          <w:sz w:val="96"/>
        </w:rPr>
      </w:pPr>
      <w:r>
        <w:rPr>
          <w:rFonts w:hint="eastAsia"/>
          <w:b w:val="1"/>
          <w:sz w:val="96"/>
        </w:rPr>
        <w:t>意　見　書</w:t>
      </w:r>
    </w:p>
    <w:p>
      <w:pPr>
        <w:pStyle w:val="0"/>
        <w:jc w:val="center"/>
        <w:rPr>
          <w:rFonts w:hint="eastAsia"/>
          <w:b w:val="1"/>
          <w:sz w:val="96"/>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44"/>
        </w:rPr>
      </w:pPr>
    </w:p>
    <w:p>
      <w:pPr>
        <w:pStyle w:val="0"/>
        <w:jc w:val="center"/>
        <w:rPr>
          <w:rFonts w:hint="eastAsia"/>
          <w:b w:val="1"/>
          <w:sz w:val="44"/>
        </w:rPr>
      </w:pPr>
      <w:r>
        <w:rPr>
          <w:rFonts w:hint="eastAsia"/>
          <w:b w:val="1"/>
          <w:sz w:val="44"/>
        </w:rPr>
        <w:t>令和４年１月２０日</w:t>
      </w:r>
    </w:p>
    <w:p>
      <w:pPr>
        <w:pStyle w:val="0"/>
        <w:jc w:val="center"/>
        <w:rPr>
          <w:rFonts w:hint="eastAsia"/>
          <w:b w:val="1"/>
          <w:sz w:val="52"/>
        </w:rPr>
      </w:pPr>
    </w:p>
    <w:p>
      <w:pPr>
        <w:pStyle w:val="0"/>
        <w:jc w:val="center"/>
        <w:rPr>
          <w:rFonts w:hint="eastAsia"/>
          <w:b w:val="1"/>
          <w:sz w:val="52"/>
        </w:rPr>
      </w:pPr>
    </w:p>
    <w:p>
      <w:pPr>
        <w:pStyle w:val="0"/>
        <w:jc w:val="center"/>
        <w:rPr>
          <w:rFonts w:hint="eastAsia"/>
          <w:b w:val="1"/>
          <w:sz w:val="52"/>
        </w:rPr>
      </w:pPr>
      <w:r>
        <w:rPr>
          <w:rFonts w:hint="eastAsia"/>
          <w:b w:val="1"/>
          <w:sz w:val="52"/>
        </w:rPr>
        <w:t>東みよし町農業委員会</w:t>
      </w:r>
    </w:p>
    <w:p>
      <w:pPr>
        <w:pStyle w:val="0"/>
        <w:jc w:val="right"/>
        <w:rPr>
          <w:rFonts w:hint="eastAsia"/>
          <w:b w:val="0"/>
          <w:sz w:val="24"/>
        </w:rPr>
      </w:pPr>
      <w:r>
        <w:rPr>
          <w:rFonts w:hint="eastAsia"/>
          <w:b w:val="0"/>
          <w:sz w:val="24"/>
        </w:rPr>
        <w:t>令和</w:t>
      </w:r>
      <w:r>
        <w:rPr>
          <w:rFonts w:hint="eastAsia"/>
          <w:b w:val="0"/>
          <w:sz w:val="24"/>
        </w:rPr>
        <w:t>4</w:t>
      </w:r>
      <w:r>
        <w:rPr>
          <w:rFonts w:hint="eastAsia"/>
          <w:b w:val="0"/>
          <w:sz w:val="24"/>
        </w:rPr>
        <w:t>年</w:t>
      </w:r>
      <w:r>
        <w:rPr>
          <w:rFonts w:hint="eastAsia"/>
          <w:b w:val="0"/>
          <w:sz w:val="24"/>
        </w:rPr>
        <w:t>1</w:t>
      </w:r>
      <w:r>
        <w:rPr>
          <w:rFonts w:hint="eastAsia"/>
          <w:b w:val="0"/>
          <w:sz w:val="24"/>
        </w:rPr>
        <w:t>月</w:t>
      </w:r>
      <w:r>
        <w:rPr>
          <w:rFonts w:hint="eastAsia"/>
          <w:b w:val="0"/>
          <w:sz w:val="24"/>
        </w:rPr>
        <w:t>20</w:t>
      </w:r>
      <w:r>
        <w:rPr>
          <w:rFonts w:hint="eastAsia"/>
          <w:b w:val="0"/>
          <w:sz w:val="24"/>
        </w:rPr>
        <w:t>日</w:t>
      </w:r>
    </w:p>
    <w:p>
      <w:pPr>
        <w:pStyle w:val="0"/>
        <w:rPr>
          <w:rFonts w:hint="eastAsia"/>
          <w:b w:val="0"/>
          <w:sz w:val="24"/>
        </w:rPr>
      </w:pPr>
      <w:r>
        <w:rPr>
          <w:rFonts w:hint="eastAsia"/>
          <w:b w:val="0"/>
          <w:sz w:val="24"/>
        </w:rPr>
        <w:t>東みよし町長　松浦　敬治　殿</w:t>
      </w:r>
    </w:p>
    <w:p>
      <w:pPr>
        <w:pStyle w:val="0"/>
        <w:rPr>
          <w:rFonts w:hint="eastAsia"/>
          <w:b w:val="0"/>
          <w:sz w:val="24"/>
        </w:rPr>
      </w:pPr>
      <w:bookmarkStart w:id="0" w:name="_GoBack"/>
      <w:bookmarkEnd w:id="0"/>
    </w:p>
    <w:p>
      <w:pPr>
        <w:pStyle w:val="0"/>
        <w:jc w:val="right"/>
        <w:rPr>
          <w:rFonts w:hint="eastAsia"/>
          <w:b w:val="0"/>
          <w:sz w:val="24"/>
        </w:rPr>
      </w:pPr>
      <w:r>
        <w:rPr>
          <w:rFonts w:hint="eastAsia"/>
          <w:b w:val="0"/>
          <w:sz w:val="24"/>
        </w:rPr>
        <w:t>東みよし町農業委員会</w:t>
      </w:r>
    </w:p>
    <w:p>
      <w:pPr>
        <w:pStyle w:val="0"/>
        <w:jc w:val="right"/>
        <w:rPr>
          <w:rFonts w:hint="eastAsia"/>
          <w:b w:val="0"/>
          <w:sz w:val="24"/>
        </w:rPr>
      </w:pPr>
      <w:r>
        <w:rPr>
          <w:rFonts w:hint="eastAsia"/>
          <w:b w:val="0"/>
          <w:sz w:val="24"/>
        </w:rPr>
        <w:t>会長　横関　博美</w:t>
      </w:r>
    </w:p>
    <w:p>
      <w:pPr>
        <w:pStyle w:val="0"/>
        <w:ind w:right="210" w:rightChars="100"/>
        <w:jc w:val="right"/>
        <w:rPr>
          <w:rFonts w:hint="eastAsia"/>
          <w:b w:val="0"/>
          <w:sz w:val="24"/>
        </w:rPr>
      </w:pPr>
    </w:p>
    <w:p>
      <w:pPr>
        <w:pStyle w:val="0"/>
        <w:ind w:right="1050" w:rightChars="500"/>
        <w:jc w:val="center"/>
        <w:rPr>
          <w:rFonts w:hint="eastAsia"/>
          <w:b w:val="0"/>
          <w:sz w:val="24"/>
        </w:rPr>
      </w:pPr>
      <w:r>
        <w:rPr>
          <w:rFonts w:hint="eastAsia"/>
          <w:b w:val="0"/>
          <w:sz w:val="24"/>
        </w:rPr>
        <w:t>令和</w:t>
      </w:r>
      <w:r>
        <w:rPr>
          <w:rFonts w:hint="eastAsia"/>
          <w:b w:val="0"/>
          <w:sz w:val="24"/>
        </w:rPr>
        <w:t>4</w:t>
      </w:r>
      <w:r>
        <w:rPr>
          <w:rFonts w:hint="eastAsia"/>
          <w:b w:val="0"/>
          <w:sz w:val="24"/>
        </w:rPr>
        <w:t>年度における東みよし町農業施策等に関する意見書について</w:t>
      </w:r>
    </w:p>
    <w:p>
      <w:pPr>
        <w:pStyle w:val="0"/>
        <w:ind w:right="1050" w:rightChars="500"/>
        <w:jc w:val="center"/>
        <w:rPr>
          <w:rFonts w:hint="eastAsia"/>
          <w:b w:val="0"/>
          <w:sz w:val="24"/>
        </w:rPr>
      </w:pPr>
    </w:p>
    <w:p>
      <w:pPr>
        <w:pStyle w:val="0"/>
        <w:ind w:right="105" w:rightChars="50"/>
        <w:rPr>
          <w:rFonts w:hint="eastAsia"/>
          <w:b w:val="0"/>
          <w:sz w:val="24"/>
        </w:rPr>
      </w:pPr>
      <w:r>
        <w:rPr>
          <w:rFonts w:hint="eastAsia"/>
          <w:b w:val="0"/>
          <w:sz w:val="24"/>
        </w:rPr>
        <w:t>　令和２年に実施された農林業センサスによると、本町の総農家数は</w:t>
      </w:r>
      <w:r>
        <w:rPr>
          <w:rFonts w:hint="eastAsia"/>
          <w:b w:val="0"/>
          <w:sz w:val="24"/>
        </w:rPr>
        <w:t>984</w:t>
      </w:r>
      <w:r>
        <w:rPr>
          <w:rFonts w:hint="eastAsia"/>
          <w:b w:val="0"/>
          <w:sz w:val="24"/>
        </w:rPr>
        <w:t>戸であり、これは前回実施の平成</w:t>
      </w:r>
      <w:r>
        <w:rPr>
          <w:rFonts w:hint="eastAsia"/>
          <w:b w:val="0"/>
          <w:sz w:val="24"/>
        </w:rPr>
        <w:t>27</w:t>
      </w:r>
      <w:r>
        <w:rPr>
          <w:rFonts w:hint="eastAsia"/>
          <w:b w:val="0"/>
          <w:sz w:val="24"/>
        </w:rPr>
        <w:t>年の</w:t>
      </w:r>
      <w:r>
        <w:rPr>
          <w:rFonts w:hint="eastAsia"/>
          <w:b w:val="0"/>
          <w:sz w:val="24"/>
        </w:rPr>
        <w:t>1,159</w:t>
      </w:r>
      <w:r>
        <w:rPr>
          <w:rFonts w:hint="eastAsia"/>
          <w:b w:val="0"/>
          <w:sz w:val="24"/>
        </w:rPr>
        <w:t>戸と比較すると</w:t>
      </w:r>
      <w:r>
        <w:rPr>
          <w:rFonts w:hint="eastAsia"/>
          <w:b w:val="0"/>
          <w:sz w:val="24"/>
        </w:rPr>
        <w:t>15</w:t>
      </w:r>
      <w:r>
        <w:rPr>
          <w:rFonts w:hint="eastAsia"/>
          <w:b w:val="0"/>
          <w:sz w:val="24"/>
        </w:rPr>
        <w:t>％の減少であります。令和</w:t>
      </w:r>
      <w:r>
        <w:rPr>
          <w:rFonts w:hint="eastAsia"/>
          <w:b w:val="0"/>
          <w:sz w:val="24"/>
        </w:rPr>
        <w:t>2</w:t>
      </w:r>
      <w:r>
        <w:rPr>
          <w:rFonts w:hint="eastAsia"/>
          <w:b w:val="0"/>
          <w:sz w:val="24"/>
        </w:rPr>
        <w:t>年度の新規就農者数については、国の発表によると「</w:t>
      </w:r>
      <w:r>
        <w:rPr>
          <w:rFonts w:hint="eastAsia"/>
          <w:b w:val="0"/>
          <w:sz w:val="24"/>
        </w:rPr>
        <w:t>5</w:t>
      </w:r>
      <w:r>
        <w:rPr>
          <w:rFonts w:hint="eastAsia"/>
          <w:b w:val="0"/>
          <w:sz w:val="24"/>
        </w:rPr>
        <w:t>万</w:t>
      </w:r>
      <w:r>
        <w:rPr>
          <w:rFonts w:hint="eastAsia"/>
          <w:b w:val="0"/>
          <w:sz w:val="24"/>
        </w:rPr>
        <w:t>3,740</w:t>
      </w:r>
      <w:r>
        <w:rPr>
          <w:rFonts w:hint="eastAsia"/>
          <w:b w:val="0"/>
          <w:sz w:val="24"/>
        </w:rPr>
        <w:t>人で前年に比べ</w:t>
      </w:r>
      <w:r>
        <w:rPr>
          <w:rFonts w:hint="eastAsia"/>
          <w:b w:val="0"/>
          <w:sz w:val="24"/>
        </w:rPr>
        <w:t>3.8</w:t>
      </w:r>
      <w:r>
        <w:rPr>
          <w:rFonts w:hint="eastAsia"/>
          <w:b w:val="0"/>
          <w:sz w:val="24"/>
        </w:rPr>
        <w:t>％減少し、このうち</w:t>
      </w:r>
      <w:r>
        <w:rPr>
          <w:rFonts w:hint="eastAsia"/>
          <w:b w:val="0"/>
          <w:sz w:val="24"/>
        </w:rPr>
        <w:t>49</w:t>
      </w:r>
      <w:r>
        <w:rPr>
          <w:rFonts w:hint="eastAsia"/>
          <w:b w:val="0"/>
          <w:sz w:val="24"/>
        </w:rPr>
        <w:t>歳以下は</w:t>
      </w:r>
      <w:r>
        <w:rPr>
          <w:rFonts w:hint="eastAsia"/>
          <w:b w:val="0"/>
          <w:sz w:val="24"/>
        </w:rPr>
        <w:t>1</w:t>
      </w:r>
      <w:r>
        <w:rPr>
          <w:rFonts w:hint="eastAsia"/>
          <w:b w:val="0"/>
          <w:sz w:val="24"/>
        </w:rPr>
        <w:t>万</w:t>
      </w:r>
      <w:r>
        <w:rPr>
          <w:rFonts w:hint="eastAsia"/>
          <w:b w:val="0"/>
          <w:sz w:val="24"/>
        </w:rPr>
        <w:t>8,380</w:t>
      </w:r>
      <w:r>
        <w:rPr>
          <w:rFonts w:hint="eastAsia"/>
          <w:b w:val="0"/>
          <w:sz w:val="24"/>
        </w:rPr>
        <w:t>人で</w:t>
      </w:r>
      <w:r>
        <w:rPr>
          <w:rFonts w:hint="eastAsia"/>
          <w:b w:val="0"/>
          <w:sz w:val="24"/>
        </w:rPr>
        <w:t>0.9</w:t>
      </w:r>
      <w:r>
        <w:rPr>
          <w:rFonts w:hint="eastAsia"/>
          <w:b w:val="0"/>
          <w:sz w:val="24"/>
        </w:rPr>
        <w:t>％減少した」と発表しております。</w:t>
      </w:r>
    </w:p>
    <w:p>
      <w:pPr>
        <w:pStyle w:val="0"/>
        <w:ind w:right="105" w:rightChars="50" w:firstLine="240" w:firstLineChars="100"/>
        <w:jc w:val="left"/>
        <w:rPr>
          <w:rFonts w:hint="eastAsia"/>
          <w:b w:val="0"/>
          <w:sz w:val="24"/>
        </w:rPr>
      </w:pPr>
      <w:r>
        <w:rPr>
          <w:rFonts w:hint="eastAsia"/>
          <w:b w:val="0"/>
          <w:sz w:val="24"/>
        </w:rPr>
        <w:t>本町に関しても、農業者の減少と高齢化が進んでいる状況であり、結果として、後継者不在による土地持ち非農家が増加しており、農地を維持することすら難しい状態となっております。</w:t>
      </w:r>
    </w:p>
    <w:p>
      <w:pPr>
        <w:pStyle w:val="0"/>
        <w:ind w:right="105" w:rightChars="50" w:firstLine="240" w:firstLineChars="100"/>
        <w:jc w:val="left"/>
        <w:rPr>
          <w:rFonts w:hint="eastAsia"/>
          <w:b w:val="0"/>
          <w:sz w:val="24"/>
        </w:rPr>
      </w:pPr>
      <w:r>
        <w:rPr>
          <w:rFonts w:hint="eastAsia"/>
          <w:b w:val="0"/>
          <w:sz w:val="24"/>
        </w:rPr>
        <w:t>また有害鳥獣による農作物被害も深刻で、農林水産省の発表によると令和</w:t>
      </w:r>
      <w:r>
        <w:rPr>
          <w:rFonts w:hint="eastAsia"/>
          <w:b w:val="0"/>
          <w:sz w:val="24"/>
        </w:rPr>
        <w:t>2</w:t>
      </w:r>
      <w:r>
        <w:rPr>
          <w:rFonts w:hint="eastAsia"/>
          <w:b w:val="0"/>
          <w:sz w:val="24"/>
        </w:rPr>
        <w:t>年度の被害額は約</w:t>
      </w:r>
      <w:r>
        <w:rPr>
          <w:rFonts w:hint="eastAsia"/>
          <w:b w:val="0"/>
          <w:sz w:val="24"/>
        </w:rPr>
        <w:t>161</w:t>
      </w:r>
      <w:r>
        <w:rPr>
          <w:rFonts w:hint="eastAsia"/>
          <w:b w:val="0"/>
          <w:sz w:val="24"/>
        </w:rPr>
        <w:t>億円となっております。本町における有害鳥獣害被害も年々深刻化しており、農業者に与える影響は計り知れません。山間部のみならず平坦部においても被害は散見され、民家における被害も拡大してきております。</w:t>
      </w:r>
    </w:p>
    <w:p>
      <w:pPr>
        <w:pStyle w:val="0"/>
        <w:ind w:right="105" w:rightChars="50" w:firstLine="240" w:firstLineChars="100"/>
        <w:jc w:val="left"/>
        <w:rPr>
          <w:rFonts w:hint="eastAsia"/>
          <w:b w:val="0"/>
          <w:sz w:val="24"/>
        </w:rPr>
      </w:pPr>
      <w:r>
        <w:rPr>
          <w:rFonts w:hint="eastAsia"/>
          <w:b w:val="0"/>
          <w:sz w:val="24"/>
        </w:rPr>
        <w:t>私たち農業委員・農地利用最適化推進委員も農業委員会等に関する法律の定める事項に基づき、鋭意その職務に取り組んでいるところであります。しかし、昨今の農業情勢にありましては、私たちだけの力ではその解決が極めて困難な諸課題が山積している状態であります。</w:t>
      </w:r>
    </w:p>
    <w:p>
      <w:pPr>
        <w:pStyle w:val="0"/>
        <w:ind w:right="105" w:rightChars="50" w:firstLine="240" w:firstLineChars="100"/>
        <w:jc w:val="left"/>
        <w:rPr>
          <w:rFonts w:hint="eastAsia"/>
          <w:b w:val="0"/>
          <w:sz w:val="24"/>
        </w:rPr>
      </w:pPr>
      <w:r>
        <w:rPr>
          <w:rFonts w:hint="eastAsia"/>
          <w:b w:val="0"/>
          <w:sz w:val="24"/>
        </w:rPr>
        <w:t>本意見書は、農業委員や農地利用最適化推進委員が日頃からの活動を通じて、農業者等からの意見・要望を取りまとめたものです。</w:t>
      </w:r>
    </w:p>
    <w:p>
      <w:pPr>
        <w:pStyle w:val="0"/>
        <w:ind w:left="0" w:leftChars="0" w:right="105" w:rightChars="50" w:firstLine="240" w:firstLineChars="100"/>
        <w:jc w:val="left"/>
        <w:rPr>
          <w:rFonts w:hint="eastAsia"/>
          <w:b w:val="0"/>
          <w:sz w:val="24"/>
        </w:rPr>
      </w:pPr>
      <w:r>
        <w:rPr>
          <w:rFonts w:hint="eastAsia"/>
          <w:b w:val="0"/>
          <w:sz w:val="24"/>
        </w:rPr>
        <w:t>農地等の利用の最適化を推進し、東みよし町の農業の発展と農業経営の安定を図るため、農業委員会等に関する法律第</w:t>
      </w:r>
      <w:r>
        <w:rPr>
          <w:rFonts w:hint="eastAsia"/>
          <w:b w:val="0"/>
          <w:sz w:val="24"/>
        </w:rPr>
        <w:t>38</w:t>
      </w:r>
      <w:r>
        <w:rPr>
          <w:rFonts w:hint="eastAsia"/>
          <w:b w:val="0"/>
          <w:sz w:val="24"/>
        </w:rPr>
        <w:t>条第</w:t>
      </w:r>
      <w:r>
        <w:rPr>
          <w:rFonts w:hint="eastAsia"/>
          <w:b w:val="0"/>
          <w:sz w:val="24"/>
        </w:rPr>
        <w:t>1</w:t>
      </w:r>
      <w:r>
        <w:rPr>
          <w:rFonts w:hint="eastAsia"/>
          <w:b w:val="0"/>
          <w:sz w:val="24"/>
        </w:rPr>
        <w:t>項の規定に基づき、下記のとおり意見書を提出いたします。</w:t>
      </w:r>
    </w:p>
    <w:p>
      <w:pPr>
        <w:pStyle w:val="0"/>
        <w:ind w:left="0" w:leftChars="0" w:right="105" w:rightChars="50" w:firstLine="240" w:firstLineChars="100"/>
        <w:jc w:val="left"/>
        <w:rPr>
          <w:rFonts w:hint="eastAsia"/>
          <w:b w:val="0"/>
          <w:sz w:val="24"/>
        </w:rPr>
      </w:pPr>
    </w:p>
    <w:p>
      <w:pPr>
        <w:pStyle w:val="0"/>
        <w:ind w:left="0" w:leftChars="0" w:right="105" w:rightChars="50" w:firstLine="240" w:firstLineChars="100"/>
        <w:jc w:val="center"/>
        <w:rPr>
          <w:rFonts w:hint="eastAsia"/>
          <w:b w:val="0"/>
          <w:sz w:val="24"/>
        </w:rPr>
      </w:pPr>
    </w:p>
    <w:p>
      <w:pPr>
        <w:pStyle w:val="0"/>
        <w:ind w:left="0" w:leftChars="0" w:right="105" w:rightChars="50" w:firstLine="240" w:firstLineChars="100"/>
        <w:jc w:val="center"/>
        <w:rPr>
          <w:rFonts w:hint="eastAsia"/>
          <w:b w:val="0"/>
          <w:sz w:val="24"/>
        </w:rPr>
      </w:pPr>
    </w:p>
    <w:p>
      <w:pPr>
        <w:pStyle w:val="0"/>
        <w:ind w:left="0" w:leftChars="0" w:right="105" w:rightChars="50" w:firstLine="240" w:firstLineChars="100"/>
        <w:jc w:val="center"/>
        <w:rPr>
          <w:rFonts w:hint="eastAsia"/>
          <w:b w:val="0"/>
          <w:sz w:val="24"/>
        </w:rPr>
      </w:pPr>
    </w:p>
    <w:p>
      <w:pPr>
        <w:pStyle w:val="0"/>
        <w:ind w:left="0" w:leftChars="0" w:right="105" w:rightChars="50" w:firstLine="240" w:firstLineChars="100"/>
        <w:jc w:val="center"/>
        <w:rPr>
          <w:rFonts w:hint="eastAsia"/>
          <w:b w:val="0"/>
          <w:sz w:val="24"/>
        </w:rPr>
      </w:pPr>
    </w:p>
    <w:p>
      <w:pPr>
        <w:pStyle w:val="0"/>
        <w:ind w:left="0" w:leftChars="0" w:right="105" w:rightChars="50" w:firstLine="240" w:firstLineChars="100"/>
        <w:jc w:val="center"/>
        <w:rPr>
          <w:rFonts w:hint="eastAsia"/>
          <w:b w:val="0"/>
          <w:sz w:val="24"/>
        </w:rPr>
      </w:pPr>
    </w:p>
    <w:p>
      <w:pPr>
        <w:pStyle w:val="0"/>
        <w:ind w:left="0" w:leftChars="0" w:right="105" w:rightChars="50" w:firstLine="240" w:firstLineChars="100"/>
        <w:jc w:val="center"/>
        <w:rPr>
          <w:rFonts w:hint="eastAsia"/>
          <w:b w:val="0"/>
          <w:sz w:val="24"/>
        </w:rPr>
      </w:pPr>
      <w:r>
        <w:rPr>
          <w:rFonts w:hint="eastAsia"/>
          <w:b w:val="0"/>
          <w:sz w:val="24"/>
        </w:rPr>
        <w:t>記</w:t>
      </w:r>
    </w:p>
    <w:p>
      <w:pPr>
        <w:pStyle w:val="0"/>
        <w:ind w:left="0" w:leftChars="0" w:right="105" w:rightChars="50" w:firstLine="240" w:firstLineChars="100"/>
        <w:jc w:val="center"/>
        <w:rPr>
          <w:rFonts w:hint="eastAsia"/>
          <w:b w:val="0"/>
          <w:sz w:val="24"/>
        </w:rPr>
      </w:pPr>
    </w:p>
    <w:p>
      <w:pPr>
        <w:pStyle w:val="0"/>
        <w:ind w:left="0" w:leftChars="0" w:right="105" w:rightChars="50" w:firstLine="0" w:firstLineChars="0"/>
        <w:rPr>
          <w:rFonts w:hint="eastAsia"/>
          <w:b w:val="0"/>
          <w:sz w:val="24"/>
        </w:rPr>
      </w:pPr>
      <w:r>
        <w:rPr>
          <w:rFonts w:hint="eastAsia"/>
          <w:b w:val="0"/>
          <w:sz w:val="24"/>
        </w:rPr>
        <w:t>１．有害鳥獣害駆除の徹底について</w:t>
      </w:r>
    </w:p>
    <w:p>
      <w:pPr>
        <w:pStyle w:val="0"/>
        <w:ind w:left="0" w:leftChars="0" w:right="105" w:rightChars="50" w:firstLine="0" w:firstLineChars="0"/>
        <w:rPr>
          <w:rFonts w:hint="eastAsia"/>
          <w:b w:val="0"/>
          <w:sz w:val="24"/>
        </w:rPr>
      </w:pPr>
      <w:r>
        <w:rPr>
          <w:rFonts w:hint="eastAsia"/>
          <w:b w:val="0"/>
          <w:sz w:val="24"/>
        </w:rPr>
        <w:t>　現在、管内農業の持続化については上記で述べたとおり課題が山積しております。特に、有害鳥獣の被害は年を経るごとに深刻化しております。イノシシやサル、シカの被害は甚大であり、農業者の所得低下を引き起こすことはもちろん、農業の将来性・継続性が危惧される事態となっております。農家の大多数を副業的農家が占める本町においては、鳥獣害被害により農業に対する意欲を削がれることは深刻な問題であり、持続可能な農業を推進していく上では必ず解決しなければならないものであります。</w:t>
      </w:r>
    </w:p>
    <w:p>
      <w:pPr>
        <w:pStyle w:val="0"/>
        <w:ind w:left="0" w:leftChars="0" w:right="105" w:rightChars="50" w:firstLine="0" w:firstLineChars="0"/>
        <w:rPr>
          <w:rFonts w:hint="eastAsia"/>
          <w:b w:val="0"/>
          <w:sz w:val="24"/>
        </w:rPr>
      </w:pPr>
      <w:r>
        <w:rPr>
          <w:rFonts w:hint="eastAsia"/>
          <w:b w:val="0"/>
          <w:sz w:val="24"/>
        </w:rPr>
        <w:t>　有害鳥獣害対策を個人で取り組んでいる農家も多数いますが、その費用も大きな負担となっております。本町では有害鳥獣害の捕獲等に係る人材の確保を目的として、有害鳥獣捕獲等への貢献に対する有害鳥獣捕獲報償金を交付しておりますが、対象となるのは一部の有害鳥獣害のみであります。全ての有害鳥獣害にも同様に報奨金を交付していただければ、電柵やワイヤーメッシュ等を設置する費用に充当することができ、負担軽減ができれば、有害鳥獣害の捕獲等に係る人材の確保に繋げることができます。近隣の市町村では実施しているようであるので、是非検討していただければと思います。</w:t>
      </w:r>
    </w:p>
    <w:p>
      <w:pPr>
        <w:pStyle w:val="0"/>
        <w:ind w:left="0" w:leftChars="0" w:right="105" w:rightChars="50" w:firstLine="0" w:firstLineChars="0"/>
        <w:rPr>
          <w:rFonts w:hint="eastAsia"/>
          <w:b w:val="0"/>
          <w:sz w:val="24"/>
        </w:rPr>
      </w:pPr>
      <w:r>
        <w:rPr>
          <w:rFonts w:hint="eastAsia"/>
          <w:b w:val="0"/>
          <w:sz w:val="24"/>
        </w:rPr>
        <w:t>　また、地域における狩猟者の高齢化が進むなか、必要になってくるのは地域ぐるみで対策に取り組むことであり、次の世代の狩猟者を農業者だけでなく幅広い人材から確保・育成することや、地域の自衛意識を高めるため、地域住民の意識の向上を目指すための支援拡充と、地域住民の理解と協力を得るための啓発活動や駆除対策に向けての諸施策の実施等を講じていただきたく思います。</w:t>
      </w:r>
    </w:p>
    <w:p>
      <w:pPr>
        <w:pStyle w:val="0"/>
        <w:ind w:left="0" w:leftChars="0" w:right="105" w:rightChars="50" w:firstLine="0" w:firstLineChars="0"/>
        <w:rPr>
          <w:rFonts w:hint="eastAsia"/>
          <w:b w:val="0"/>
          <w:sz w:val="24"/>
        </w:rPr>
      </w:pPr>
      <w:r>
        <w:rPr>
          <w:rFonts w:hint="eastAsia"/>
          <w:b w:val="0"/>
          <w:sz w:val="24"/>
        </w:rPr>
        <w:t>　農業が我が町の基幹産業の一つである以上、早急に被害対策方針の確立と諸施策の展開が強く望まれます。</w:t>
      </w:r>
    </w:p>
    <w:p>
      <w:pPr>
        <w:pStyle w:val="0"/>
        <w:ind w:left="0" w:leftChars="0" w:right="105" w:rightChars="50" w:firstLine="0" w:firstLineChars="0"/>
        <w:rPr>
          <w:rFonts w:hint="eastAsia"/>
          <w:b w:val="0"/>
          <w:sz w:val="24"/>
        </w:rPr>
      </w:pPr>
    </w:p>
    <w:p>
      <w:pPr>
        <w:pStyle w:val="0"/>
        <w:ind w:left="0" w:leftChars="0" w:right="105" w:rightChars="50" w:firstLine="0" w:firstLineChars="0"/>
        <w:rPr>
          <w:rFonts w:hint="eastAsia"/>
          <w:b w:val="0"/>
          <w:sz w:val="24"/>
        </w:rPr>
      </w:pPr>
      <w:r>
        <w:rPr>
          <w:rFonts w:hint="eastAsia"/>
          <w:b w:val="0"/>
          <w:sz w:val="24"/>
        </w:rPr>
        <w:t>2.</w:t>
      </w:r>
      <w:r>
        <w:rPr>
          <w:rFonts w:hint="eastAsia"/>
          <w:b w:val="0"/>
          <w:sz w:val="24"/>
        </w:rPr>
        <w:t>地域の担い手や後継者となる新規就農者への支援拡充</w:t>
      </w:r>
    </w:p>
    <w:p>
      <w:pPr>
        <w:pStyle w:val="0"/>
        <w:ind w:left="0" w:leftChars="0" w:right="105" w:rightChars="50" w:firstLine="0" w:firstLineChars="0"/>
        <w:rPr>
          <w:rFonts w:hint="eastAsia"/>
          <w:b w:val="0"/>
          <w:sz w:val="24"/>
        </w:rPr>
      </w:pPr>
      <w:r>
        <w:rPr>
          <w:rFonts w:hint="eastAsia"/>
          <w:b w:val="0"/>
          <w:sz w:val="24"/>
        </w:rPr>
        <w:t>　本町は令和</w:t>
      </w:r>
      <w:r>
        <w:rPr>
          <w:rFonts w:hint="eastAsia"/>
          <w:b w:val="0"/>
          <w:sz w:val="24"/>
        </w:rPr>
        <w:t>4</w:t>
      </w:r>
      <w:r>
        <w:rPr>
          <w:rFonts w:hint="eastAsia"/>
          <w:b w:val="0"/>
          <w:sz w:val="24"/>
        </w:rPr>
        <w:t>年</w:t>
      </w:r>
      <w:r>
        <w:rPr>
          <w:rFonts w:hint="eastAsia"/>
          <w:b w:val="0"/>
          <w:sz w:val="24"/>
        </w:rPr>
        <w:t>1</w:t>
      </w:r>
      <w:r>
        <w:rPr>
          <w:rFonts w:hint="eastAsia"/>
          <w:b w:val="0"/>
          <w:sz w:val="24"/>
        </w:rPr>
        <w:t>月現在において、各集落ごとに人・農地プランを策定し、実質化しているようですが、どの集落においても中心経営体が不足していることが窺えます。農業従事者の減少に歯止めをかけるためには、親元、非農家からの就農に関わらず、将来の担い手を確保することが重要であることから、農地や農業用機械の継承、先輩農業者からの栽培技術の助言・指導、就農形態に応じた各種補助制度等の周知と活用を図るなど、地域の一員となる農業後継者の確保と育成について支援の拡充を望み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1437</TotalTime>
  <Pages>3</Pages>
  <Words>28</Words>
  <Characters>1753</Characters>
  <Application>JUST Note</Application>
  <Lines>87</Lines>
  <Paragraphs>23</Paragraphs>
  <CharactersWithSpaces>1766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竹谷 亮</dc:creator>
  <cp:lastModifiedBy>竹谷 亮</cp:lastModifiedBy>
  <cp:lastPrinted>2022-01-19T07:58:40Z</cp:lastPrinted>
  <dcterms:created xsi:type="dcterms:W3CDTF">2021-11-12T01:16:00Z</dcterms:created>
  <dcterms:modified xsi:type="dcterms:W3CDTF">2022-01-19T08:01:21Z</dcterms:modified>
  <cp:revision>30</cp:revision>
</cp:coreProperties>
</file>